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shd w:val="clear" w:color="auto" w:fill="FFFFFF"/>
        </w:rPr>
      </w:pPr>
      <w:r>
        <w:rPr>
          <w:rFonts w:hint="eastAsia"/>
          <w:shd w:val="clear" w:color="auto" w:fill="FFFFFF"/>
        </w:rPr>
        <w:t>山东省</w:t>
      </w:r>
      <w:r>
        <w:rPr>
          <w:shd w:val="clear" w:color="auto" w:fill="FFFFFF"/>
        </w:rPr>
        <w:t>网络安全企业</w:t>
      </w:r>
      <w:r>
        <w:rPr>
          <w:rFonts w:hint="eastAsia"/>
          <w:shd w:val="clear" w:color="auto" w:fill="FFFFFF"/>
        </w:rPr>
        <w:t>基本情况</w:t>
      </w:r>
      <w:r>
        <w:rPr>
          <w:shd w:val="clear" w:color="auto" w:fill="FFFFFF"/>
        </w:rPr>
        <w:t>调查表</w:t>
      </w:r>
    </w:p>
    <w:p>
      <w:pPr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企业名称：（中英文）</w:t>
      </w:r>
    </w:p>
    <w:p>
      <w:pPr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成立时间：   年  月  日</w:t>
      </w:r>
    </w:p>
    <w:p>
      <w:pP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主营业务：</w:t>
      </w:r>
      <w:bookmarkStart w:id="0" w:name="_GoBack"/>
      <w:bookmarkEnd w:id="0"/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（基础设施安全、终端安全、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应用安全、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数据安全、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内容安全、身份认证与访问管理、云安全、移动安全、安全智能、业务安全、安全管理、安全服务、测评认证、安全会议、安全新媒体、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自主可控、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密码安全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）</w:t>
      </w:r>
    </w:p>
    <w:p>
      <w:pP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产品类型：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（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基础设施安全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：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防火墙／NGFW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网络隔离（网闸）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入侵检测/入侵防御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网络准入(NAC)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统一威胁管理（UTM）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主机防护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抗DDOS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上网行为管理/Web安全网关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、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容灾备份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终端安全：终端防护／防病毒、终端检测与响应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应用安全：代码安全、漏洞扫描、Web应用扫描与监控、网页防篡改、Web应用防火墙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数据安全：数据防泄密/DLP、VPN、磁盘加密、文档安全、加密机、数据库安全、Hadoop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内容安全：不良信息监测与过滤、舆情监控、邮件安全、反钓鱼、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身份认证与访问管理：IAM、堡垒机、数字证书、身份认证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云安全：云抗D、云WAF、云身份管理、云基础架构安全、云主机安全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移动安全：移动APP安全、移动终端安全、移动业务安全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安全智能：威胁情报、高级威胁防护(APT)、取证溯源、网络流量分析(NTA)、用户行为分析(UBA)、网络空间测绘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业务安全：互联网业务安全、工控安全、企业应用及办公设备安全、管综/网综平台、视频专网、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安全管理：态势感知(SOC／ISOC)、等保工具、GRC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安全服务：安全咨询、攻防训练平台、安全培训教育、渗透测试、评估加固／安全运维、安全集成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测评认证：测评与认证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安全会议：安全会议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安全新媒体：安全新媒体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自主可控：芯片、主板、操作系统、中间件、安全产品</w:t>
      </w:r>
    </w:p>
    <w:p>
      <w:pP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</w:pP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  <w:lang w:eastAsia="zh-CN"/>
        </w:rPr>
        <w:t>密码安全：密码钥匙、密码卡、密码机、通讯加密、密码应用）</w:t>
      </w:r>
    </w:p>
    <w:p>
      <w:pPr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总收入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（  ）万元 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{必填}</w:t>
      </w:r>
    </w:p>
    <w:p>
      <w:pP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安全业务收入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（ ）万元 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{必填}</w:t>
      </w:r>
    </w:p>
    <w:p>
      <w:pPr>
        <w:rPr>
          <w:rFonts w:ascii="微软雅黑" w:hAnsi="微软雅黑" w:eastAsia="微软雅黑"/>
          <w:b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收入构成占比：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{必填}</w:t>
      </w:r>
    </w:p>
    <w:p>
      <w:pPr>
        <w:pStyle w:val="8"/>
        <w:numPr>
          <w:ilvl w:val="0"/>
          <w:numId w:val="1"/>
        </w:numPr>
        <w:ind w:firstLineChars="0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安全服务收入（）万元</w:t>
      </w:r>
    </w:p>
    <w:p>
      <w:pPr>
        <w:pStyle w:val="8"/>
        <w:numPr>
          <w:ilvl w:val="0"/>
          <w:numId w:val="1"/>
        </w:numPr>
        <w:ind w:firstLineChars="0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安全集成收入（）万元</w:t>
      </w:r>
    </w:p>
    <w:p>
      <w:pPr>
        <w:pStyle w:val="8"/>
        <w:numPr>
          <w:ilvl w:val="0"/>
          <w:numId w:val="1"/>
        </w:numPr>
        <w:ind w:firstLineChars="0"/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软件销售收入（）万元</w:t>
      </w:r>
    </w:p>
    <w:p>
      <w:pPr>
        <w:pStyle w:val="8"/>
        <w:numPr>
          <w:ilvl w:val="0"/>
          <w:numId w:val="1"/>
        </w:numPr>
        <w:ind w:firstLineChars="0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硬件销售收入（）万元</w:t>
      </w:r>
    </w:p>
    <w:p>
      <w:pPr>
        <w:pStyle w:val="8"/>
        <w:numPr>
          <w:ilvl w:val="0"/>
          <w:numId w:val="1"/>
        </w:numPr>
        <w:ind w:firstLineChars="0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其他收入（）万元</w:t>
      </w:r>
    </w:p>
    <w:p>
      <w:pP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研发成本收入占比（ %）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 </w:t>
      </w:r>
      <w:r>
        <w:rPr>
          <w:rStyle w:val="9"/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</w:t>
      </w:r>
      <w:r>
        <w:rPr>
          <w:rStyle w:val="9"/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必填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}</w:t>
      </w:r>
    </w:p>
    <w:p>
      <w:pPr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安全</w:t>
      </w:r>
      <w:r>
        <w:rPr>
          <w:rFonts w:ascii="微软雅黑" w:hAnsi="微软雅黑" w:eastAsia="微软雅黑"/>
          <w:b/>
          <w:color w:val="000000"/>
          <w:szCs w:val="21"/>
          <w:shd w:val="clear" w:color="auto" w:fill="FFFFFF"/>
        </w:rPr>
        <w:t>运营成本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（）万元 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{选填}</w:t>
      </w:r>
    </w:p>
    <w:p>
      <w:pPr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安全利润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（）万元 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{选填}</w:t>
      </w:r>
    </w:p>
    <w:p>
      <w:pP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2019年同期销售增长率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（</w:t>
      </w:r>
      <w:r>
        <w:rPr>
          <w:rFonts w:ascii="微软雅黑" w:hAnsi="微软雅黑" w:eastAsia="微软雅黑"/>
          <w:color w:val="000000"/>
          <w:szCs w:val="21"/>
          <w:shd w:val="clear" w:color="auto" w:fill="FFFFFF"/>
        </w:rPr>
        <w:t>）</w:t>
      </w:r>
      <w:r>
        <w:rPr>
          <w:rStyle w:val="9"/>
          <w:rFonts w:hint="eastAsia" w:ascii="微软雅黑" w:hAnsi="微软雅黑" w:eastAsia="微软雅黑"/>
          <w:color w:val="000000"/>
          <w:szCs w:val="21"/>
          <w:shd w:val="clear" w:color="auto" w:fill="FFFFFF"/>
        </w:rPr>
        <w:t>%</w:t>
      </w:r>
      <w:r>
        <w:rPr>
          <w:rStyle w:val="9"/>
          <w:rFonts w:ascii="微软雅黑" w:hAnsi="微软雅黑" w:eastAsia="微软雅黑"/>
          <w:color w:val="000000"/>
          <w:szCs w:val="21"/>
          <w:shd w:val="clear" w:color="auto" w:fill="FFFFFF"/>
        </w:rPr>
        <w:t xml:space="preserve"> </w:t>
      </w:r>
      <w:r>
        <w:rPr>
          <w:rStyle w:val="9"/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</w:t>
      </w:r>
      <w:r>
        <w:rPr>
          <w:rStyle w:val="9"/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必填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}</w:t>
      </w:r>
    </w:p>
    <w:p>
      <w:pP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人员总数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（</w:t>
      </w:r>
      <w:r>
        <w:rPr>
          <w:rFonts w:ascii="微软雅黑" w:hAnsi="微软雅黑" w:eastAsia="微软雅黑"/>
          <w:color w:val="000000"/>
          <w:szCs w:val="21"/>
          <w:shd w:val="clear" w:color="auto" w:fill="FFFFFF"/>
        </w:rPr>
        <w:t>）人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 </w:t>
      </w:r>
      <w:r>
        <w:rPr>
          <w:rStyle w:val="9"/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</w:t>
      </w:r>
      <w:r>
        <w:rPr>
          <w:rStyle w:val="9"/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必填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}</w:t>
      </w:r>
    </w:p>
    <w:p>
      <w:pPr>
        <w:rPr>
          <w:rFonts w:ascii="微软雅黑" w:hAnsi="微软雅黑" w:eastAsia="微软雅黑"/>
          <w:szCs w:val="21"/>
          <w:shd w:val="clear" w:color="auto" w:fill="FFFFFF"/>
        </w:rPr>
      </w:pPr>
      <w:r>
        <w:rPr>
          <w:rStyle w:val="9"/>
          <w:rFonts w:hint="eastAsia" w:ascii="微软雅黑" w:hAnsi="微软雅黑" w:eastAsia="微软雅黑"/>
          <w:b/>
          <w:szCs w:val="21"/>
          <w:shd w:val="clear" w:color="auto" w:fill="FFFFFF"/>
        </w:rPr>
        <w:t>人员比例</w:t>
      </w:r>
      <w:r>
        <w:rPr>
          <w:rFonts w:hint="eastAsia" w:ascii="微软雅黑" w:hAnsi="微软雅黑" w:eastAsia="微软雅黑"/>
          <w:szCs w:val="21"/>
          <w:shd w:val="clear" w:color="auto" w:fill="FFFFFF"/>
        </w:rPr>
        <w:t>：销售人员占比</w:t>
      </w:r>
      <w:r>
        <w:rPr>
          <w:rFonts w:ascii="微软雅黑" w:hAnsi="微软雅黑" w:eastAsia="微软雅黑"/>
          <w:szCs w:val="21"/>
          <w:shd w:val="clear" w:color="auto" w:fill="FFFFFF"/>
        </w:rPr>
        <w:t>（）</w:t>
      </w:r>
      <w:r>
        <w:rPr>
          <w:rFonts w:hint="eastAsia" w:ascii="微软雅黑" w:hAnsi="微软雅黑" w:eastAsia="微软雅黑"/>
          <w:szCs w:val="21"/>
          <w:shd w:val="clear" w:color="auto" w:fill="FFFFFF"/>
        </w:rPr>
        <w:t>%；技术人员占比</w:t>
      </w:r>
      <w:r>
        <w:rPr>
          <w:rFonts w:ascii="微软雅黑" w:hAnsi="微软雅黑" w:eastAsia="微软雅黑"/>
          <w:szCs w:val="21"/>
          <w:shd w:val="clear" w:color="auto" w:fill="FFFFFF"/>
        </w:rPr>
        <w:t>（）</w:t>
      </w:r>
      <w:r>
        <w:rPr>
          <w:rFonts w:hint="eastAsia" w:ascii="微软雅黑" w:hAnsi="微软雅黑" w:eastAsia="微软雅黑"/>
          <w:szCs w:val="21"/>
          <w:shd w:val="clear" w:color="auto" w:fill="FFFFFF"/>
        </w:rPr>
        <w:t xml:space="preserve">%；行政人员占比（）% </w:t>
      </w:r>
      <w:r>
        <w:rPr>
          <w:rStyle w:val="9"/>
          <w:rFonts w:ascii="微软雅黑" w:hAnsi="微软雅黑" w:eastAsia="微软雅黑"/>
          <w:sz w:val="18"/>
          <w:szCs w:val="18"/>
          <w:shd w:val="clear" w:color="auto" w:fill="FFFFFF"/>
        </w:rPr>
        <w:t>{</w:t>
      </w:r>
      <w:r>
        <w:rPr>
          <w:rStyle w:val="9"/>
          <w:rFonts w:hint="eastAsia" w:ascii="微软雅黑" w:hAnsi="微软雅黑" w:eastAsia="微软雅黑"/>
          <w:sz w:val="18"/>
          <w:szCs w:val="18"/>
          <w:shd w:val="clear" w:color="auto" w:fill="FFFFFF"/>
        </w:rPr>
        <w:t>必填</w:t>
      </w:r>
      <w:r>
        <w:rPr>
          <w:rFonts w:hint="eastAsia" w:ascii="微软雅黑" w:hAnsi="微软雅黑" w:eastAsia="微软雅黑"/>
          <w:sz w:val="18"/>
          <w:szCs w:val="18"/>
          <w:shd w:val="clear" w:color="auto" w:fill="FFFFFF"/>
        </w:rPr>
        <w:t>}</w:t>
      </w:r>
    </w:p>
    <w:p>
      <w:pPr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市值或估值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（</w:t>
      </w:r>
      <w:r>
        <w:rPr>
          <w:rFonts w:ascii="微软雅黑" w:hAnsi="微软雅黑" w:eastAsia="微软雅黑"/>
          <w:color w:val="000000"/>
          <w:szCs w:val="21"/>
          <w:shd w:val="clear" w:color="auto" w:fill="FFFFFF"/>
        </w:rPr>
        <w:t>）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万元 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{选填}</w:t>
      </w:r>
    </w:p>
    <w:p>
      <w:pP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r>
        <w:rPr>
          <w:rStyle w:val="9"/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当年融资额</w:t>
      </w:r>
      <w:r>
        <w:rPr>
          <w:rStyle w:val="9"/>
          <w:rFonts w:hint="eastAsia" w:ascii="微软雅黑" w:hAnsi="微软雅黑" w:eastAsia="微软雅黑"/>
          <w:color w:val="000000"/>
          <w:szCs w:val="21"/>
          <w:shd w:val="clear" w:color="auto" w:fill="FFFFFF"/>
        </w:rPr>
        <w:t>（</w:t>
      </w:r>
      <w:r>
        <w:rPr>
          <w:rStyle w:val="9"/>
          <w:rFonts w:ascii="微软雅黑" w:hAnsi="微软雅黑" w:eastAsia="微软雅黑"/>
          <w:color w:val="000000"/>
          <w:szCs w:val="21"/>
          <w:shd w:val="clear" w:color="auto" w:fill="FFFFFF"/>
        </w:rPr>
        <w:t>）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万</w:t>
      </w:r>
      <w:r>
        <w:rPr>
          <w:rStyle w:val="9"/>
          <w:rFonts w:ascii="微软雅黑" w:hAnsi="微软雅黑" w:eastAsia="微软雅黑"/>
          <w:color w:val="000000"/>
          <w:szCs w:val="21"/>
          <w:shd w:val="clear" w:color="auto" w:fill="FFFFFF"/>
        </w:rPr>
        <w:t>元</w:t>
      </w:r>
    </w:p>
    <w:p>
      <w:pPr>
        <w:rPr>
          <w:rStyle w:val="9"/>
          <w:b/>
          <w:color w:val="000000"/>
          <w:szCs w:val="21"/>
        </w:rPr>
      </w:pPr>
      <w:r>
        <w:rPr>
          <w:rStyle w:val="9"/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历史融资总额</w:t>
      </w:r>
      <w:r>
        <w:rPr>
          <w:rStyle w:val="9"/>
          <w:rFonts w:hint="eastAsia" w:ascii="微软雅黑" w:hAnsi="微软雅黑" w:eastAsia="微软雅黑"/>
          <w:color w:val="000000"/>
          <w:szCs w:val="21"/>
          <w:shd w:val="clear" w:color="auto" w:fill="FFFFFF"/>
        </w:rPr>
        <w:t>（</w:t>
      </w:r>
      <w:r>
        <w:rPr>
          <w:rStyle w:val="9"/>
          <w:rFonts w:hint="eastAsia" w:ascii="微软雅黑" w:hAnsi="微软雅黑" w:eastAsia="微软雅黑"/>
          <w:szCs w:val="21"/>
          <w:shd w:val="clear" w:color="auto" w:fill="FFFFFF"/>
        </w:rPr>
        <w:t>）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万</w:t>
      </w:r>
      <w:r>
        <w:rPr>
          <w:rStyle w:val="9"/>
          <w:rFonts w:hint="eastAsia" w:ascii="微软雅黑" w:hAnsi="微软雅黑" w:eastAsia="微软雅黑"/>
          <w:color w:val="000000"/>
          <w:szCs w:val="21"/>
          <w:shd w:val="clear" w:color="auto" w:fill="FFFFFF"/>
        </w:rPr>
        <w:t>元</w:t>
      </w:r>
    </w:p>
    <w:p>
      <w:pPr>
        <w:rPr>
          <w:rStyle w:val="9"/>
          <w:rFonts w:ascii="微软雅黑" w:hAnsi="微软雅黑" w:eastAsia="微软雅黑"/>
          <w:b/>
          <w:szCs w:val="21"/>
          <w:shd w:val="clear" w:color="auto" w:fill="FFFFFF"/>
        </w:rPr>
      </w:pPr>
      <w:r>
        <w:rPr>
          <w:rStyle w:val="9"/>
          <w:rFonts w:hint="eastAsia" w:ascii="微软雅黑" w:hAnsi="微软雅黑" w:eastAsia="微软雅黑"/>
          <w:b/>
          <w:szCs w:val="21"/>
          <w:shd w:val="clear" w:color="auto" w:fill="FFFFFF"/>
        </w:rPr>
        <w:t>预计2019年全年安全业务收入：</w:t>
      </w:r>
      <w:r>
        <w:rPr>
          <w:rStyle w:val="9"/>
          <w:rFonts w:ascii="微软雅黑" w:hAnsi="微软雅黑" w:eastAsia="微软雅黑"/>
          <w:b/>
          <w:szCs w:val="21"/>
          <w:shd w:val="clear" w:color="auto" w:fill="FFFFFF"/>
        </w:rPr>
        <w:t xml:space="preserve"> 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（）万元 </w:t>
      </w:r>
      <w: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必填，根据真实的企业规划</w:t>
      </w:r>
      <w: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}</w:t>
      </w:r>
    </w:p>
    <w:p>
      <w:pPr>
        <w:rPr>
          <w:rStyle w:val="9"/>
          <w:b/>
          <w:szCs w:val="21"/>
        </w:rPr>
      </w:pPr>
      <w:r>
        <w:rPr>
          <w:rStyle w:val="9"/>
          <w:rFonts w:ascii="微软雅黑" w:hAnsi="微软雅黑" w:eastAsia="微软雅黑"/>
          <w:b/>
          <w:szCs w:val="21"/>
          <w:shd w:val="clear" w:color="auto" w:fill="FFFFFF"/>
        </w:rPr>
        <w:t>企业</w:t>
      </w:r>
      <w:r>
        <w:rPr>
          <w:rStyle w:val="9"/>
          <w:rFonts w:hint="eastAsia" w:ascii="微软雅黑" w:hAnsi="微软雅黑" w:eastAsia="微软雅黑"/>
          <w:b/>
          <w:szCs w:val="21"/>
          <w:shd w:val="clear" w:color="auto" w:fill="FFFFFF"/>
        </w:rPr>
        <w:t>收入增长预期：</w:t>
      </w:r>
      <w:r>
        <w:rPr>
          <w:rStyle w:val="9"/>
          <w:rFonts w:hint="eastAsia" w:ascii="微软雅黑" w:hAnsi="微软雅黑" w:eastAsia="微软雅黑"/>
          <w:szCs w:val="21"/>
          <w:shd w:val="clear" w:color="auto" w:fill="FFFFFF"/>
        </w:rPr>
        <w:t xml:space="preserve"> 2019年（）亿元 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{选填，指安全业务收入}</w:t>
      </w:r>
    </w:p>
    <w:p>
      <w:pP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</w:p>
    <w:p>
      <w:pPr>
        <w:spacing w:line="240" w:lineRule="exact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安全客户</w:t>
      </w:r>
      <w:r>
        <w:rPr>
          <w:rFonts w:ascii="微软雅黑" w:hAnsi="微软雅黑" w:eastAsia="微软雅黑"/>
          <w:b/>
          <w:color w:val="000000"/>
          <w:szCs w:val="21"/>
          <w:shd w:val="clear" w:color="auto" w:fill="FFFFFF"/>
        </w:rPr>
        <w:t>覆盖行业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：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757599956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Yu Gothic UI" w:hAnsi="Yu Gothic UI" w:eastAsia="Yu Gothic UI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金融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860900047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MS Gothic" w:hAnsi="MS Gothic" w:eastAsia="MS Gothic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互联网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1650354252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Yu Gothic UI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能源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1450388266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MS Gothic" w:hAnsi="MS Gothic" w:eastAsia="MS Gothic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电力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1874959447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MS Gothic" w:hAnsi="MS Gothic" w:eastAsia="MS Gothic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水力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157923221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MS Gothic" w:hAnsi="MS Gothic" w:eastAsia="MS Gothic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农业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268437798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MS Gothic" w:hAnsi="MS Gothic" w:eastAsia="MS Gothic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科技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1455248846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Yu Gothic UI" w:hAnsi="Yu Gothic UI" w:eastAsia="Yu Gothic UI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通信电子</w:t>
      </w:r>
    </w:p>
    <w:p>
      <w:pPr>
        <w:spacing w:line="240" w:lineRule="exact"/>
        <w:ind w:left="1875" w:leftChars="893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741247773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Yu Gothic UI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建筑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1710953388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MS Gothic" w:hAnsi="MS Gothic" w:eastAsia="MS Gothic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房地产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1258327771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MS Gothic" w:hAnsi="MS Gothic" w:eastAsia="MS Gothic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钢铁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406187309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MS Gothic" w:hAnsi="MS Gothic" w:eastAsia="MS Gothic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化工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1049724106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交通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2088910529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铁路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1308156141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航空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2134088311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机械制造 </w:t>
      </w:r>
    </w:p>
    <w:p>
      <w:pPr>
        <w:spacing w:line="240" w:lineRule="exact"/>
        <w:ind w:left="1875" w:leftChars="893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948279433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Yu Gothic UI" w:hAnsi="Yu Gothic UI" w:eastAsia="Yu Gothic UI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军工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268547579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Yu Gothic UI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医疗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218168056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Yu Gothic UI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物流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1999845410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商业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1708683776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教育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2022499047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MS Gothic" w:hAnsi="MS Gothic" w:eastAsia="MS Gothic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娱乐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853720772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Yu Gothic UI" w:hAnsi="Yu Gothic UI" w:eastAsia="Yu Gothic UI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政府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1016725377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hint="eastAsia" w:ascii="MS Gothic" w:hAnsi="MS Gothic" w:eastAsia="MS Gothic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研究机构</w:t>
      </w:r>
    </w:p>
    <w:p>
      <w:pPr>
        <w:spacing w:line="240" w:lineRule="exact"/>
        <w:ind w:left="1875" w:leftChars="893"/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310682515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Yu Gothic UI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其他</w:t>
      </w:r>
    </w:p>
    <w:p>
      <w:pPr>
        <w:spacing w:line="240" w:lineRule="exact"/>
        <w:ind w:left="1455" w:leftChars="693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</w:p>
    <w:p>
      <w:pPr>
        <w:spacing w:line="240" w:lineRule="exact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安全客户</w:t>
      </w:r>
      <w:r>
        <w:rPr>
          <w:rFonts w:ascii="微软雅黑" w:hAnsi="微软雅黑" w:eastAsia="微软雅黑"/>
          <w:b/>
          <w:color w:val="000000"/>
          <w:szCs w:val="21"/>
          <w:shd w:val="clear" w:color="auto" w:fill="FFFFFF"/>
        </w:rPr>
        <w:t>覆盖区域</w:t>
      </w: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：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229460854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sdt>
            <w:sdt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id w:val="1999845410"/>
            </w:sdtPr>
            <w:sdtEnd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sdtEndPr>
            <w:sdtContent>
              <w:r>
                <w:rPr>
                  <w:rFonts w:ascii="Segoe UI Symbol" w:hAnsi="Segoe UI Symbol" w:eastAsia="MS Gothic" w:cs="Segoe UI Symbol"/>
                  <w:color w:val="000000"/>
                  <w:szCs w:val="21"/>
                  <w:shd w:val="clear" w:color="auto" w:fill="FFFFFF"/>
                </w:rPr>
                <w:t>☐</w:t>
              </w:r>
            </w:sdtContent>
          </w:sdt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华东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1740088224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sdt>
            <w:sdt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id w:val="1999845410"/>
            </w:sdtPr>
            <w:sdtEnd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sdtEndPr>
            <w:sdtContent>
              <w:r>
                <w:rPr>
                  <w:rFonts w:ascii="Segoe UI Symbol" w:hAnsi="Segoe UI Symbol" w:eastAsia="MS Gothic" w:cs="Segoe UI Symbol"/>
                  <w:color w:val="000000"/>
                  <w:szCs w:val="21"/>
                  <w:shd w:val="clear" w:color="auto" w:fill="FFFFFF"/>
                </w:rPr>
                <w:t>☐</w:t>
              </w:r>
            </w:sdtContent>
          </w:sdt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华北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1091614529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sdt>
            <w:sdt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id w:val="1999845410"/>
            </w:sdtPr>
            <w:sdtEnd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sdtEndPr>
            <w:sdtContent>
              <w:r>
                <w:rPr>
                  <w:rFonts w:ascii="Segoe UI Symbol" w:hAnsi="Segoe UI Symbol" w:eastAsia="MS Gothic" w:cs="Segoe UI Symbol"/>
                  <w:color w:val="000000"/>
                  <w:szCs w:val="21"/>
                  <w:shd w:val="clear" w:color="auto" w:fill="FFFFFF"/>
                </w:rPr>
                <w:t>☐</w:t>
              </w:r>
            </w:sdtContent>
          </w:sdt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华中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530846946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sdt>
            <w:sdt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id w:val="1999845410"/>
            </w:sdtPr>
            <w:sdtEnd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sdtEndPr>
            <w:sdtContent>
              <w:r>
                <w:rPr>
                  <w:rFonts w:ascii="Segoe UI Symbol" w:hAnsi="Segoe UI Symbol" w:eastAsia="MS Gothic" w:cs="Segoe UI Symbol"/>
                  <w:color w:val="000000"/>
                  <w:szCs w:val="21"/>
                  <w:shd w:val="clear" w:color="auto" w:fill="FFFFFF"/>
                </w:rPr>
                <w:t>☐</w:t>
              </w:r>
            </w:sdtContent>
          </w:sdt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华南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742098891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sdt>
            <w:sdt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id w:val="1999845410"/>
            </w:sdtPr>
            <w:sdtEnd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sdtEndPr>
            <w:sdtContent>
              <w:r>
                <w:rPr>
                  <w:rFonts w:ascii="Segoe UI Symbol" w:hAnsi="Segoe UI Symbol" w:eastAsia="MS Gothic" w:cs="Segoe UI Symbol"/>
                  <w:color w:val="000000"/>
                  <w:szCs w:val="21"/>
                  <w:shd w:val="clear" w:color="auto" w:fill="FFFFFF"/>
                </w:rPr>
                <w:t>☐</w:t>
              </w:r>
            </w:sdtContent>
          </w:sdt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东北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-152139657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sdt>
            <w:sdt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id w:val="1999845410"/>
            </w:sdtPr>
            <w:sdtEnd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sdtEndPr>
            <w:sdtContent>
              <w:r>
                <w:rPr>
                  <w:rFonts w:ascii="Segoe UI Symbol" w:hAnsi="Segoe UI Symbol" w:eastAsia="MS Gothic" w:cs="Segoe UI Symbol"/>
                  <w:color w:val="000000"/>
                  <w:szCs w:val="21"/>
                  <w:shd w:val="clear" w:color="auto" w:fill="FFFFFF"/>
                </w:rPr>
                <w:t>☐</w:t>
              </w:r>
            </w:sdtContent>
          </w:sdt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西北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1669211009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sdt>
            <w:sdt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id w:val="1999845410"/>
            </w:sdtPr>
            <w:sdtEnd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sdtEndPr>
            <w:sdtContent>
              <w:r>
                <w:rPr>
                  <w:rFonts w:ascii="Segoe UI Symbol" w:hAnsi="Segoe UI Symbol" w:eastAsia="MS Gothic" w:cs="Segoe UI Symbol"/>
                  <w:color w:val="000000"/>
                  <w:szCs w:val="21"/>
                  <w:shd w:val="clear" w:color="auto" w:fill="FFFFFF"/>
                </w:rPr>
                <w:t>☐</w:t>
              </w:r>
            </w:sdtContent>
          </w:sdt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西南 </w:t>
      </w: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998076330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港澳台 </w:t>
      </w:r>
    </w:p>
    <w:p>
      <w:pPr>
        <w:spacing w:line="240" w:lineRule="exact"/>
        <w:ind w:left="1987" w:leftChars="946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sdt>
        <w:sdt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  <w:id w:val="210463896"/>
        </w:sdtPr>
        <w:sdtEndPr>
          <w:rPr>
            <w:rFonts w:hint="eastAsia" w:ascii="微软雅黑" w:hAnsi="微软雅黑" w:eastAsia="微软雅黑"/>
            <w:color w:val="000000"/>
            <w:szCs w:val="21"/>
            <w:shd w:val="clear" w:color="auto" w:fill="FFFFFF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Cs w:val="21"/>
              <w:shd w:val="clear" w:color="auto" w:fill="FFFFFF"/>
            </w:rPr>
            <w:t>☐</w:t>
          </w:r>
        </w:sdtContent>
      </w:sdt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海外 </w:t>
      </w:r>
      <w:r>
        <w:rPr>
          <w:rStyle w:val="9"/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</w:t>
      </w:r>
      <w:r>
        <w:rPr>
          <w:rStyle w:val="9"/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选填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}</w:t>
      </w:r>
    </w:p>
    <w:p>
      <w:pP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安全</w:t>
      </w:r>
      <w:r>
        <w:rPr>
          <w:rFonts w:ascii="微软雅黑" w:hAnsi="微软雅黑" w:eastAsia="微软雅黑"/>
          <w:b/>
          <w:color w:val="000000"/>
          <w:szCs w:val="21"/>
          <w:shd w:val="clear" w:color="auto" w:fill="FFFFFF"/>
        </w:rPr>
        <w:t>新产品</w:t>
      </w: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开发数量</w:t>
      </w:r>
      <w:r>
        <w:rPr>
          <w:rFonts w:ascii="微软雅黑" w:hAnsi="微软雅黑" w:eastAsia="微软雅黑"/>
          <w:color w:val="000000"/>
          <w:szCs w:val="21"/>
          <w:shd w:val="clear" w:color="auto" w:fill="FFFFFF"/>
        </w:rPr>
        <w:t>（）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 xml:space="preserve"> 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{选填，产品功能有较大提升或性质不同的产品，普通的版本更新不算}</w:t>
      </w:r>
    </w:p>
    <w:p>
      <w:pPr>
        <w:rPr>
          <w:rFonts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安全新技术研发数量（）</w:t>
      </w:r>
      <w:r>
        <w:rPr>
          <w:rFonts w:hint="eastAsia" w:ascii="微软雅黑" w:hAnsi="微软雅黑" w:eastAsia="微软雅黑"/>
          <w:color w:val="7F7F7F" w:themeColor="background1" w:themeShade="80"/>
          <w:sz w:val="18"/>
          <w:szCs w:val="18"/>
          <w:shd w:val="clear" w:color="auto" w:fill="FFFFFF"/>
        </w:rPr>
        <w:t>{选填，新技术是指未形成产品，但已经研发成型的技术方向}</w:t>
      </w:r>
    </w:p>
    <w:p>
      <w:pPr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 xml:space="preserve">安全总专利数量： 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已批准专利（）</w:t>
      </w:r>
      <w:r>
        <w:rPr>
          <w:rFonts w:ascii="微软雅黑" w:hAnsi="微软雅黑" w:eastAsia="微软雅黑"/>
          <w:color w:val="000000"/>
          <w:szCs w:val="21"/>
          <w:shd w:val="clear" w:color="auto" w:fill="FFFFFF"/>
        </w:rPr>
        <w:t xml:space="preserve"> 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申请中专利（）</w:t>
      </w:r>
    </w:p>
    <w:p>
      <w:pP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00"/>
          <w:szCs w:val="21"/>
          <w:shd w:val="clear" w:color="auto" w:fill="FFFFFF"/>
        </w:rPr>
        <w:t>拥有各种资质、证书的介绍：</w:t>
      </w:r>
    </w:p>
    <w:p>
      <w:pPr>
        <w:rPr>
          <w:rFonts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  <w:t>1、涉密信息系统集成资质证书（系统集成和软件开发）</w:t>
      </w:r>
    </w:p>
    <w:p>
      <w:pPr>
        <w:rPr>
          <w:rFonts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  <w:t>2、涉密数据恢复资质证书</w:t>
      </w:r>
    </w:p>
    <w:p>
      <w:pPr>
        <w:rPr>
          <w:rFonts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  <w:t>3、武器装备科研生产单位保密资格证书</w:t>
      </w:r>
    </w:p>
    <w:p>
      <w:pPr>
        <w:autoSpaceDE w:val="0"/>
        <w:autoSpaceDN w:val="0"/>
        <w:adjustRightInd w:val="0"/>
        <w:jc w:val="left"/>
        <w:rPr>
          <w:rFonts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  <w:t>、武器装备质量管理系统认证证书</w:t>
      </w:r>
    </w:p>
    <w:p>
      <w:pP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  <w:t>、质量管理体系</w:t>
      </w:r>
      <w:r>
        <w:rPr>
          <w:rFonts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  <w:t>ISO9001</w:t>
      </w: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  <w:t>：</w:t>
      </w:r>
      <w:r>
        <w:rPr>
          <w:rFonts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  <w:t>2015</w:t>
      </w: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  <w:t>认证</w:t>
      </w:r>
    </w:p>
    <w:p>
      <w:pP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:sz w:val="18"/>
          <w:szCs w:val="18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商用密码产品型号证书</w:t>
      </w:r>
    </w:p>
    <w:p/>
    <w:sectPr>
      <w:headerReference r:id="rId3" w:type="default"/>
      <w:pgSz w:w="11906" w:h="16838"/>
      <w:pgMar w:top="720" w:right="1701" w:bottom="72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Yu Gothic UI">
    <w:altName w:val="MS Gothic"/>
    <w:panose1 w:val="00000000000000000000"/>
    <w:charset w:val="80"/>
    <w:family w:val="swiss"/>
    <w:pitch w:val="default"/>
    <w:sig w:usb0="00000000" w:usb1="00000000" w:usb2="00000016" w:usb3="00000000" w:csb0="0002009F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  <w:font w:name="Segoe UI Symbol">
    <w:panose1 w:val="020B0502040204020203"/>
    <w:charset w:val="00"/>
    <w:family w:val="swiss"/>
    <w:pitch w:val="default"/>
    <w:sig w:usb0="8000006F" w:usb1="1200FBEF" w:usb2="0064C000" w:usb3="00000002" w:csb0="00000001" w:csb1="4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jc w:val="left"/>
      <w:rPr>
        <w:rFonts w:hint="default" w:eastAsiaTheme="minorEastAsia"/>
        <w:lang w:val="en-US" w:eastAsia="zh-CN"/>
      </w:rPr>
    </w:pPr>
    <w:r>
      <w:rPr>
        <w:rFonts w:hint="eastAsia"/>
        <w:lang w:eastAsia="zh-CN"/>
      </w:rPr>
      <w:t>附件</w:t>
    </w:r>
    <w:r>
      <w:rPr>
        <w:rFonts w:hint="eastAsia"/>
        <w:lang w:val="en-US" w:eastAsia="zh-CN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E528B"/>
    <w:multiLevelType w:val="multilevel"/>
    <w:tmpl w:val="40DE528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E80B39"/>
    <w:rsid w:val="01E80B39"/>
    <w:rsid w:val="073D52A5"/>
    <w:rsid w:val="6E4A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apple-converted-space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2019-08-22T09:24:00Z</dcterms:created>
  <dc:creator>lucy</dc:creator>
  <cp:lastModifiedBy>lucy</cp:lastModifiedBy>
  <dcterms:modified xsi:type="dcterms:W3CDTF">2019-08-22T11:09:53Z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